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BA89984" w14:textId="77777777" w:rsidR="002F50FD" w:rsidRDefault="009E7F56" w:rsidP="00392A37">
      <w:pPr>
        <w:bidi/>
        <w:spacing w:line="360" w:lineRule="auto"/>
        <w:rPr>
          <w:rFonts w:ascii="David" w:hAnsi="David" w:cs="David"/>
          <w:rtl/>
        </w:rPr>
      </w:pPr>
      <w:bookmarkStart w:id="0" w:name="_GoBack"/>
      <w:bookmarkEnd w:id="0"/>
      <w:r w:rsidRPr="00392A37">
        <w:rPr>
          <w:rFonts w:ascii="David" w:hAnsi="David" w:cs="David"/>
          <w:rtl/>
        </w:rPr>
        <w:t xml:space="preserve">                                              </w:t>
      </w:r>
    </w:p>
    <w:p w14:paraId="652E1019" w14:textId="77777777" w:rsidR="002F50FD" w:rsidRDefault="002F50FD" w:rsidP="002F50FD">
      <w:pPr>
        <w:bidi/>
        <w:spacing w:line="360" w:lineRule="auto"/>
        <w:rPr>
          <w:rFonts w:ascii="David" w:hAnsi="David" w:cs="David"/>
          <w:rtl/>
        </w:rPr>
      </w:pPr>
    </w:p>
    <w:p w14:paraId="79516CAC" w14:textId="6DC21F5F" w:rsidR="002F50FD" w:rsidRDefault="009E7F56" w:rsidP="002F50FD">
      <w:pPr>
        <w:bidi/>
        <w:spacing w:line="360" w:lineRule="auto"/>
        <w:rPr>
          <w:rFonts w:ascii="David" w:hAnsi="David" w:cs="David"/>
          <w:rtl/>
        </w:rPr>
      </w:pPr>
      <w:r>
        <w:rPr>
          <w:rFonts w:ascii="David" w:hAnsi="David" w:cs="David" w:hint="cs"/>
          <w:rtl/>
        </w:rPr>
        <w:t>וועדת ערר לפי חוק הנכים תגמולים ושיקום תשי"ט 1959</w:t>
      </w:r>
      <w:r w:rsidR="00D06294">
        <w:rPr>
          <w:rFonts w:ascii="David" w:hAnsi="David" w:cs="David" w:hint="cs"/>
          <w:rtl/>
        </w:rPr>
        <w:t xml:space="preserve">, </w:t>
      </w:r>
      <w:r>
        <w:rPr>
          <w:rFonts w:ascii="David" w:hAnsi="David" w:cs="David" w:hint="cs"/>
          <w:rtl/>
        </w:rPr>
        <w:t xml:space="preserve"> פסק הדין עוסק בעניין זכאותה של חיילת שחלתה במהלך שירותה הצבאי לתגמולים ממשרד הביטחון. </w:t>
      </w:r>
    </w:p>
    <w:p w14:paraId="16602798" w14:textId="68C671CF" w:rsidR="002F50FD" w:rsidRDefault="009E7F56" w:rsidP="002F50FD">
      <w:pPr>
        <w:bidi/>
        <w:spacing w:line="360" w:lineRule="auto"/>
        <w:rPr>
          <w:rFonts w:ascii="David" w:hAnsi="David" w:cs="David"/>
          <w:rtl/>
        </w:rPr>
      </w:pPr>
      <w:r w:rsidRPr="00D06294">
        <w:rPr>
          <w:rFonts w:ascii="David" w:hAnsi="David" w:cs="David" w:hint="cs"/>
          <w:b/>
          <w:bCs/>
          <w:rtl/>
        </w:rPr>
        <w:t>מספר תיק:</w:t>
      </w:r>
      <w:r>
        <w:rPr>
          <w:rFonts w:ascii="David" w:hAnsi="David" w:cs="David" w:hint="cs"/>
          <w:rtl/>
        </w:rPr>
        <w:t xml:space="preserve">  </w:t>
      </w:r>
      <w:r w:rsidRPr="00392A37">
        <w:rPr>
          <w:rFonts w:ascii="David" w:hAnsi="David" w:cs="David"/>
          <w:rtl/>
        </w:rPr>
        <w:t>56023-12-21</w:t>
      </w:r>
    </w:p>
    <w:p w14:paraId="167E51D1" w14:textId="7C3A35F0" w:rsidR="002F50FD" w:rsidRDefault="009E7F56" w:rsidP="002F50FD">
      <w:pPr>
        <w:bidi/>
        <w:spacing w:line="360" w:lineRule="auto"/>
        <w:rPr>
          <w:rFonts w:ascii="David" w:hAnsi="David" w:cs="David"/>
          <w:rtl/>
        </w:rPr>
      </w:pPr>
      <w:r w:rsidRPr="00D06294">
        <w:rPr>
          <w:rFonts w:ascii="David" w:hAnsi="David" w:cs="David" w:hint="cs"/>
          <w:b/>
          <w:bCs/>
          <w:rtl/>
        </w:rPr>
        <w:t>סוג ההליך:</w:t>
      </w:r>
      <w:r>
        <w:rPr>
          <w:rFonts w:ascii="David" w:hAnsi="David" w:cs="David" w:hint="cs"/>
          <w:rtl/>
        </w:rPr>
        <w:t xml:space="preserve"> מינהלי לפי חוק הנכים </w:t>
      </w:r>
      <w:r w:rsidR="0019186E">
        <w:rPr>
          <w:rFonts w:ascii="David" w:hAnsi="David" w:cs="David" w:hint="cs"/>
          <w:rtl/>
        </w:rPr>
        <w:t>(</w:t>
      </w:r>
      <w:r>
        <w:rPr>
          <w:rFonts w:ascii="David" w:hAnsi="David" w:cs="David" w:hint="cs"/>
          <w:rtl/>
        </w:rPr>
        <w:t xml:space="preserve">תגמולים </w:t>
      </w:r>
      <w:r>
        <w:rPr>
          <w:rFonts w:ascii="David" w:hAnsi="David" w:cs="David" w:hint="cs"/>
          <w:rtl/>
        </w:rPr>
        <w:t>ושיקום</w:t>
      </w:r>
      <w:r w:rsidR="0019186E">
        <w:rPr>
          <w:rFonts w:ascii="David" w:hAnsi="David" w:cs="David" w:hint="cs"/>
          <w:rtl/>
        </w:rPr>
        <w:t xml:space="preserve">) </w:t>
      </w:r>
      <w:r>
        <w:rPr>
          <w:rFonts w:ascii="David" w:hAnsi="David" w:cs="David" w:hint="cs"/>
          <w:rtl/>
        </w:rPr>
        <w:t xml:space="preserve"> תשי"ט</w:t>
      </w:r>
      <w:r w:rsidR="0019186E">
        <w:rPr>
          <w:rFonts w:ascii="David" w:hAnsi="David" w:cs="David" w:hint="cs"/>
          <w:rtl/>
        </w:rPr>
        <w:t xml:space="preserve"> -</w:t>
      </w:r>
      <w:r>
        <w:rPr>
          <w:rFonts w:ascii="David" w:hAnsi="David" w:cs="David" w:hint="cs"/>
          <w:rtl/>
        </w:rPr>
        <w:t xml:space="preserve"> 1959 </w:t>
      </w:r>
      <w:r w:rsidR="0019186E">
        <w:rPr>
          <w:rFonts w:ascii="David" w:hAnsi="David" w:cs="David" w:hint="cs"/>
          <w:rtl/>
        </w:rPr>
        <w:t>[נוסח משולב].</w:t>
      </w:r>
    </w:p>
    <w:p w14:paraId="36E49553" w14:textId="377DB1BE" w:rsidR="002F50FD" w:rsidRDefault="009E7F56" w:rsidP="002F50FD">
      <w:pPr>
        <w:bidi/>
        <w:spacing w:line="360" w:lineRule="auto"/>
        <w:rPr>
          <w:rFonts w:ascii="David" w:hAnsi="David" w:cs="David"/>
          <w:rtl/>
        </w:rPr>
      </w:pPr>
      <w:r w:rsidRPr="00D06294">
        <w:rPr>
          <w:rFonts w:ascii="David" w:hAnsi="David" w:cs="David" w:hint="cs"/>
          <w:b/>
          <w:bCs/>
          <w:rtl/>
        </w:rPr>
        <w:t>הרכב:</w:t>
      </w:r>
      <w:r>
        <w:rPr>
          <w:rFonts w:ascii="David" w:hAnsi="David" w:cs="David" w:hint="cs"/>
          <w:rtl/>
        </w:rPr>
        <w:t xml:space="preserve"> חברי הועדה השופטת( דימ.) יעל אחימן יו"ר, ד"ר הדר ירדני חברה, עו"ד אוריאל דרייפוס, חבר.</w:t>
      </w:r>
    </w:p>
    <w:p w14:paraId="3E6EEBF9" w14:textId="54402142" w:rsidR="00D06294" w:rsidRDefault="009E7F56" w:rsidP="00D06294">
      <w:pPr>
        <w:bidi/>
        <w:spacing w:line="360" w:lineRule="auto"/>
        <w:rPr>
          <w:rFonts w:ascii="David" w:hAnsi="David" w:cs="David"/>
          <w:rtl/>
        </w:rPr>
      </w:pPr>
      <w:r w:rsidRPr="00D06294">
        <w:rPr>
          <w:rFonts w:ascii="David" w:hAnsi="David" w:cs="David" w:hint="cs"/>
          <w:b/>
          <w:bCs/>
          <w:rtl/>
        </w:rPr>
        <w:t xml:space="preserve">בית משפט: </w:t>
      </w:r>
      <w:r w:rsidRPr="00D06294">
        <w:rPr>
          <w:rFonts w:ascii="David" w:hAnsi="David" w:cs="David" w:hint="cs"/>
          <w:rtl/>
        </w:rPr>
        <w:t>בית משפט השלום בירושלים.</w:t>
      </w:r>
      <w:r>
        <w:rPr>
          <w:rFonts w:ascii="David" w:hAnsi="David" w:cs="David" w:hint="cs"/>
          <w:rtl/>
        </w:rPr>
        <w:t xml:space="preserve"> </w:t>
      </w:r>
    </w:p>
    <w:p w14:paraId="722D9ED5" w14:textId="36442F61" w:rsidR="00D06294" w:rsidRPr="00D06294" w:rsidRDefault="009E7F56" w:rsidP="00D06294">
      <w:pPr>
        <w:bidi/>
        <w:spacing w:line="360" w:lineRule="auto"/>
        <w:rPr>
          <w:rFonts w:ascii="David" w:hAnsi="David" w:cs="David"/>
          <w:b/>
          <w:bCs/>
          <w:rtl/>
        </w:rPr>
      </w:pPr>
      <w:r w:rsidRPr="00D06294">
        <w:rPr>
          <w:rFonts w:ascii="David" w:hAnsi="David" w:cs="David" w:hint="cs"/>
          <w:b/>
          <w:bCs/>
          <w:rtl/>
        </w:rPr>
        <w:t xml:space="preserve">מועד פסק הדין: </w:t>
      </w:r>
      <w:r w:rsidRPr="00D06294">
        <w:rPr>
          <w:rFonts w:ascii="David" w:hAnsi="David" w:cs="David" w:hint="cs"/>
          <w:rtl/>
        </w:rPr>
        <w:t>12.8.24</w:t>
      </w:r>
      <w:r>
        <w:rPr>
          <w:rFonts w:ascii="David" w:hAnsi="David" w:cs="David" w:hint="cs"/>
          <w:b/>
          <w:bCs/>
          <w:rtl/>
        </w:rPr>
        <w:t xml:space="preserve"> </w:t>
      </w:r>
    </w:p>
    <w:p w14:paraId="66B052FF" w14:textId="3E1651EB" w:rsidR="00AA3D53" w:rsidRPr="002F50FD" w:rsidRDefault="009E7F56" w:rsidP="002F50FD">
      <w:pPr>
        <w:bidi/>
        <w:spacing w:line="360" w:lineRule="auto"/>
        <w:rPr>
          <w:rFonts w:ascii="David" w:hAnsi="David" w:cs="David"/>
          <w:b/>
          <w:bCs/>
          <w:rtl/>
        </w:rPr>
      </w:pPr>
      <w:r w:rsidRPr="002F50FD">
        <w:rPr>
          <w:rFonts w:ascii="David" w:hAnsi="David" w:cs="David"/>
          <w:b/>
          <w:bCs/>
          <w:rtl/>
        </w:rPr>
        <w:t xml:space="preserve">   תקציר פסק הדין בעניין פלונית נ' קצין התגמולים של משרד הביטחון :</w:t>
      </w:r>
    </w:p>
    <w:p w14:paraId="61E582F1" w14:textId="427A354F" w:rsidR="00696026" w:rsidRPr="00392A37" w:rsidRDefault="009E7F56" w:rsidP="00392A37">
      <w:pPr>
        <w:bidi/>
        <w:spacing w:line="360" w:lineRule="auto"/>
        <w:rPr>
          <w:rFonts w:ascii="David" w:hAnsi="David" w:cs="David"/>
          <w:rtl/>
        </w:rPr>
      </w:pPr>
      <w:r w:rsidRPr="00392A37">
        <w:rPr>
          <w:rFonts w:ascii="David" w:hAnsi="David" w:cs="David"/>
          <w:rtl/>
        </w:rPr>
        <w:t>פסק הדין שניתן</w:t>
      </w:r>
      <w:r w:rsidR="00B84B48">
        <w:rPr>
          <w:rFonts w:ascii="David" w:hAnsi="David" w:cs="David" w:hint="cs"/>
          <w:rtl/>
        </w:rPr>
        <w:t xml:space="preserve"> בימים אלה </w:t>
      </w:r>
      <w:r w:rsidRPr="00392A37">
        <w:rPr>
          <w:rFonts w:ascii="David" w:hAnsi="David" w:cs="David"/>
          <w:rtl/>
        </w:rPr>
        <w:t xml:space="preserve"> בע"נ 56023-12-21 ע</w:t>
      </w:r>
      <w:r w:rsidR="00B84B48">
        <w:rPr>
          <w:rFonts w:ascii="David" w:hAnsi="David" w:cs="David" w:hint="cs"/>
          <w:rtl/>
        </w:rPr>
        <w:t xml:space="preserve">וסק </w:t>
      </w:r>
      <w:r w:rsidRPr="00392A37">
        <w:rPr>
          <w:rFonts w:ascii="David" w:hAnsi="David" w:cs="David"/>
          <w:rtl/>
        </w:rPr>
        <w:t xml:space="preserve"> בערר של חיילת</w:t>
      </w:r>
      <w:r w:rsidR="00AA3D53" w:rsidRPr="00392A37">
        <w:rPr>
          <w:rFonts w:ascii="David" w:hAnsi="David" w:cs="David"/>
          <w:rtl/>
        </w:rPr>
        <w:t>,</w:t>
      </w:r>
      <w:r w:rsidRPr="00392A37">
        <w:rPr>
          <w:rFonts w:ascii="David" w:hAnsi="David" w:cs="David"/>
          <w:rtl/>
        </w:rPr>
        <w:t xml:space="preserve"> שחלתה בעת שירותה הצבאי בדיכאון</w:t>
      </w:r>
      <w:r w:rsidR="00726CD2" w:rsidRPr="00392A37">
        <w:rPr>
          <w:rFonts w:ascii="David" w:hAnsi="David" w:cs="David"/>
          <w:rtl/>
        </w:rPr>
        <w:t>,</w:t>
      </w:r>
      <w:r w:rsidR="00F52491" w:rsidRPr="00392A37">
        <w:rPr>
          <w:rFonts w:ascii="David" w:hAnsi="David" w:cs="David"/>
          <w:rtl/>
        </w:rPr>
        <w:t xml:space="preserve"> בשלו שוחררה משירות טרם זמנה</w:t>
      </w:r>
      <w:r w:rsidR="00D06294">
        <w:rPr>
          <w:rFonts w:ascii="David" w:hAnsi="David" w:cs="David" w:hint="cs"/>
          <w:rtl/>
        </w:rPr>
        <w:t xml:space="preserve">. פנייתה לתגמולים בגין מחלתה נדחתה לאחר שמשרד הביטחון באמצעות </w:t>
      </w:r>
      <w:r w:rsidRPr="00392A37">
        <w:rPr>
          <w:rFonts w:ascii="David" w:hAnsi="David" w:cs="David"/>
          <w:rtl/>
        </w:rPr>
        <w:t xml:space="preserve">קצין התגמולים סרב להכיר </w:t>
      </w:r>
      <w:r w:rsidR="00D06294">
        <w:rPr>
          <w:rFonts w:ascii="David" w:hAnsi="David" w:cs="David" w:hint="cs"/>
          <w:rtl/>
        </w:rPr>
        <w:t xml:space="preserve">בזכאותה לתגמולים על פי החוק. </w:t>
      </w:r>
      <w:r w:rsidR="00726CD2" w:rsidRPr="00392A37">
        <w:rPr>
          <w:rFonts w:ascii="David" w:hAnsi="David" w:cs="David"/>
          <w:rtl/>
        </w:rPr>
        <w:t xml:space="preserve">סירובו של </w:t>
      </w:r>
      <w:r w:rsidR="00D06294">
        <w:rPr>
          <w:rFonts w:ascii="David" w:hAnsi="David" w:cs="David" w:hint="cs"/>
          <w:rtl/>
        </w:rPr>
        <w:t>משרד הביטחון</w:t>
      </w:r>
      <w:r w:rsidR="00726CD2" w:rsidRPr="00392A37">
        <w:rPr>
          <w:rFonts w:ascii="David" w:hAnsi="David" w:cs="David"/>
          <w:rtl/>
        </w:rPr>
        <w:t xml:space="preserve"> להכיר </w:t>
      </w:r>
      <w:r w:rsidR="00AA3D53" w:rsidRPr="00392A37">
        <w:rPr>
          <w:rFonts w:ascii="David" w:hAnsi="David" w:cs="David"/>
          <w:rtl/>
        </w:rPr>
        <w:t xml:space="preserve">במערערת כמי שלקתה בדיכאון </w:t>
      </w:r>
      <w:r w:rsidR="003C23B6" w:rsidRPr="00392A37">
        <w:rPr>
          <w:rFonts w:ascii="David" w:hAnsi="David" w:cs="David"/>
          <w:rtl/>
        </w:rPr>
        <w:t>עקב שירותה הצבאי,</w:t>
      </w:r>
      <w:r w:rsidR="00726CD2" w:rsidRPr="00392A37">
        <w:rPr>
          <w:rFonts w:ascii="David" w:hAnsi="David" w:cs="David"/>
          <w:rtl/>
        </w:rPr>
        <w:t xml:space="preserve"> נסמך </w:t>
      </w:r>
      <w:r w:rsidRPr="00392A37">
        <w:rPr>
          <w:rFonts w:ascii="David" w:hAnsi="David" w:cs="David"/>
          <w:rtl/>
        </w:rPr>
        <w:t xml:space="preserve">על אבחנה רפואית </w:t>
      </w:r>
      <w:r w:rsidR="00B84B48">
        <w:rPr>
          <w:rFonts w:ascii="David" w:hAnsi="David" w:cs="David" w:hint="cs"/>
          <w:rtl/>
        </w:rPr>
        <w:t>שונה</w:t>
      </w:r>
      <w:r w:rsidR="00F52491" w:rsidRPr="00392A37">
        <w:rPr>
          <w:rFonts w:ascii="David" w:hAnsi="David" w:cs="David"/>
          <w:rtl/>
        </w:rPr>
        <w:t>,</w:t>
      </w:r>
      <w:r w:rsidR="003C23B6" w:rsidRPr="00392A37">
        <w:rPr>
          <w:rFonts w:ascii="David" w:hAnsi="David" w:cs="David"/>
          <w:rtl/>
        </w:rPr>
        <w:t xml:space="preserve"> שלפיה לקתה המערערת בהפרעת אכילה (אנורקסיה) עוד בנעוריה, ומחלתה הוסתרה משלטונות הצבא בעת גיוסה. בהכרעתו זו הסתמך קצין התגמולים על חוות דעת </w:t>
      </w:r>
      <w:r w:rsidR="00726CD2" w:rsidRPr="00392A37">
        <w:rPr>
          <w:rFonts w:ascii="David" w:hAnsi="David" w:cs="David"/>
          <w:rtl/>
        </w:rPr>
        <w:t>רפואית מייעצת של מומחית</w:t>
      </w:r>
      <w:r w:rsidR="003C23B6" w:rsidRPr="00392A37">
        <w:rPr>
          <w:rFonts w:ascii="David" w:hAnsi="David" w:cs="David"/>
          <w:rtl/>
        </w:rPr>
        <w:t xml:space="preserve">, שאליה </w:t>
      </w:r>
      <w:r w:rsidR="00F52491" w:rsidRPr="00392A37">
        <w:rPr>
          <w:rFonts w:ascii="David" w:hAnsi="David" w:cs="David"/>
          <w:rtl/>
        </w:rPr>
        <w:t>הפנה את המערערת לבדיקת מצבה הרפואי וזיקתו לתנאי שירותה בצבא</w:t>
      </w:r>
      <w:r w:rsidR="00AA3D53" w:rsidRPr="00392A37">
        <w:rPr>
          <w:rFonts w:ascii="David" w:hAnsi="David" w:cs="David"/>
          <w:rtl/>
        </w:rPr>
        <w:t>.</w:t>
      </w:r>
      <w:r w:rsidRPr="00392A37">
        <w:rPr>
          <w:rFonts w:ascii="David" w:hAnsi="David" w:cs="David"/>
          <w:rtl/>
        </w:rPr>
        <w:t xml:space="preserve"> </w:t>
      </w:r>
    </w:p>
    <w:p w14:paraId="57D8C38E" w14:textId="310DFD8D" w:rsidR="001445E4" w:rsidRPr="00392A37" w:rsidRDefault="009E7F56" w:rsidP="00392A37">
      <w:pPr>
        <w:bidi/>
        <w:spacing w:line="360" w:lineRule="auto"/>
        <w:rPr>
          <w:rFonts w:ascii="David" w:hAnsi="David" w:cs="David"/>
          <w:rtl/>
        </w:rPr>
      </w:pPr>
      <w:r w:rsidRPr="00392A37">
        <w:rPr>
          <w:rFonts w:ascii="David" w:hAnsi="David" w:cs="David"/>
          <w:rtl/>
        </w:rPr>
        <w:t>בפסק הדין שנית</w:t>
      </w:r>
      <w:r w:rsidR="00B84B48">
        <w:rPr>
          <w:rFonts w:ascii="David" w:hAnsi="David" w:cs="David" w:hint="cs"/>
          <w:rtl/>
        </w:rPr>
        <w:t>ן,</w:t>
      </w:r>
      <w:r w:rsidR="00635F5B" w:rsidRPr="00392A37">
        <w:rPr>
          <w:rFonts w:ascii="David" w:hAnsi="David" w:cs="David"/>
          <w:rtl/>
        </w:rPr>
        <w:t xml:space="preserve"> קבעו חברי הועדה שדנו בערר</w:t>
      </w:r>
      <w:r w:rsidR="00AA3D53" w:rsidRPr="00392A37">
        <w:rPr>
          <w:rFonts w:ascii="David" w:hAnsi="David" w:cs="David"/>
          <w:rtl/>
        </w:rPr>
        <w:t>,</w:t>
      </w:r>
      <w:r w:rsidR="00635F5B" w:rsidRPr="00392A37">
        <w:rPr>
          <w:rFonts w:ascii="David" w:hAnsi="David" w:cs="David"/>
          <w:rtl/>
        </w:rPr>
        <w:t xml:space="preserve"> </w:t>
      </w:r>
      <w:r w:rsidRPr="00392A37">
        <w:rPr>
          <w:rFonts w:ascii="David" w:hAnsi="David" w:cs="David"/>
          <w:rtl/>
        </w:rPr>
        <w:t>כי המומחית מטעם קצין התגמולים</w:t>
      </w:r>
      <w:r w:rsidR="00635F5B" w:rsidRPr="00392A37">
        <w:rPr>
          <w:rFonts w:ascii="David" w:hAnsi="David" w:cs="David"/>
          <w:rtl/>
        </w:rPr>
        <w:t>,</w:t>
      </w:r>
      <w:r w:rsidRPr="00392A37">
        <w:rPr>
          <w:rFonts w:ascii="David" w:hAnsi="David" w:cs="David"/>
          <w:rtl/>
        </w:rPr>
        <w:t xml:space="preserve"> שגתה באבחנתה את המערערת כמי שחלתה בהפרעת אכילה</w:t>
      </w:r>
      <w:r w:rsidR="00AA3D53" w:rsidRPr="00392A37">
        <w:rPr>
          <w:rFonts w:ascii="David" w:hAnsi="David" w:cs="David"/>
          <w:rtl/>
        </w:rPr>
        <w:t>,</w:t>
      </w:r>
      <w:r w:rsidRPr="00392A37">
        <w:rPr>
          <w:rFonts w:ascii="David" w:hAnsi="David" w:cs="David"/>
          <w:rtl/>
        </w:rPr>
        <w:t xml:space="preserve"> </w:t>
      </w:r>
      <w:r w:rsidR="004D03DC">
        <w:rPr>
          <w:rFonts w:ascii="David" w:hAnsi="David" w:cs="David" w:hint="cs"/>
          <w:rtl/>
        </w:rPr>
        <w:t>תוך שהיא מתעלמת</w:t>
      </w:r>
      <w:r w:rsidRPr="00392A37">
        <w:rPr>
          <w:rFonts w:ascii="David" w:hAnsi="David" w:cs="David"/>
          <w:rtl/>
        </w:rPr>
        <w:t xml:space="preserve"> מ</w:t>
      </w:r>
      <w:r w:rsidR="00635F5B" w:rsidRPr="00392A37">
        <w:rPr>
          <w:rFonts w:ascii="David" w:hAnsi="David" w:cs="David"/>
          <w:rtl/>
        </w:rPr>
        <w:t>ן הנתונים המדעיים והאובייקטיביים שנוגעים למצבה של המערערת</w:t>
      </w:r>
      <w:r w:rsidR="00F52491" w:rsidRPr="00392A37">
        <w:rPr>
          <w:rFonts w:ascii="David" w:hAnsi="David" w:cs="David"/>
          <w:rtl/>
        </w:rPr>
        <w:t>,</w:t>
      </w:r>
      <w:r w:rsidRPr="00392A37">
        <w:rPr>
          <w:rFonts w:ascii="David" w:hAnsi="David" w:cs="David"/>
          <w:rtl/>
        </w:rPr>
        <w:t xml:space="preserve"> הגם שאלה הונחו בפניה וסתרו את מסקנותיה. </w:t>
      </w:r>
    </w:p>
    <w:p w14:paraId="7F97FA84" w14:textId="298387CB" w:rsidR="001445E4" w:rsidRPr="00392A37" w:rsidRDefault="009E7F56" w:rsidP="00392A37">
      <w:pPr>
        <w:bidi/>
        <w:spacing w:line="360" w:lineRule="auto"/>
        <w:rPr>
          <w:rFonts w:ascii="David" w:hAnsi="David" w:cs="David"/>
          <w:rtl/>
        </w:rPr>
      </w:pPr>
      <w:r w:rsidRPr="00392A37">
        <w:rPr>
          <w:rFonts w:ascii="David" w:hAnsi="David" w:cs="David"/>
          <w:rtl/>
        </w:rPr>
        <w:t>בפסק הדין שניתן, קבע</w:t>
      </w:r>
      <w:r w:rsidR="00635F5B" w:rsidRPr="00392A37">
        <w:rPr>
          <w:rFonts w:ascii="David" w:hAnsi="David" w:cs="David"/>
          <w:rtl/>
        </w:rPr>
        <w:t>ו חברי הועדה</w:t>
      </w:r>
      <w:r w:rsidRPr="00392A37">
        <w:rPr>
          <w:rFonts w:ascii="David" w:hAnsi="David" w:cs="David"/>
          <w:rtl/>
        </w:rPr>
        <w:t xml:space="preserve"> כי המומחית שחוות דעתה משמשת את קצין התגמולים בהחלטותיו, פעלה באופן שאינו עולה בקנה אחד עם הסטנדרטים המקצועיים המקובלים בעולם הרפואה. </w:t>
      </w:r>
    </w:p>
    <w:p w14:paraId="767F87F2" w14:textId="50067CDA" w:rsidR="00392A37" w:rsidRPr="00392A37" w:rsidRDefault="009E7F56" w:rsidP="00736BC6">
      <w:pPr>
        <w:bidi/>
        <w:spacing w:line="360" w:lineRule="auto"/>
        <w:rPr>
          <w:rFonts w:ascii="David" w:hAnsi="David" w:cs="David"/>
          <w:rtl/>
        </w:rPr>
      </w:pPr>
      <w:r w:rsidRPr="00392A37">
        <w:rPr>
          <w:rFonts w:ascii="David" w:hAnsi="David" w:cs="David"/>
          <w:rtl/>
        </w:rPr>
        <w:t xml:space="preserve">בתוך כך, </w:t>
      </w:r>
      <w:r w:rsidR="00635F5B" w:rsidRPr="00392A37">
        <w:rPr>
          <w:rFonts w:ascii="David" w:hAnsi="David" w:cs="David"/>
          <w:rtl/>
        </w:rPr>
        <w:t>הביעו חברי הועדה את דאגתם מכך</w:t>
      </w:r>
      <w:r>
        <w:rPr>
          <w:rFonts w:ascii="David" w:hAnsi="David" w:cs="David" w:hint="cs"/>
          <w:rtl/>
        </w:rPr>
        <w:t xml:space="preserve"> </w:t>
      </w:r>
      <w:r w:rsidR="00B84B48">
        <w:rPr>
          <w:rFonts w:ascii="David" w:hAnsi="David" w:cs="David" w:hint="cs"/>
          <w:rtl/>
        </w:rPr>
        <w:t>שנוכחו כי</w:t>
      </w:r>
      <w:r w:rsidR="00635F5B" w:rsidRPr="00392A37">
        <w:rPr>
          <w:rFonts w:ascii="David" w:hAnsi="David" w:cs="David"/>
          <w:rtl/>
        </w:rPr>
        <w:t xml:space="preserve"> שיטת העבודה של קצין התגמולים במשרד הביטחון</w:t>
      </w:r>
      <w:r w:rsidR="004D03DC">
        <w:rPr>
          <w:rFonts w:ascii="David" w:hAnsi="David" w:cs="David" w:hint="cs"/>
          <w:rtl/>
        </w:rPr>
        <w:t>,</w:t>
      </w:r>
      <w:r w:rsidR="00635F5B" w:rsidRPr="00392A37">
        <w:rPr>
          <w:rFonts w:ascii="David" w:hAnsi="David" w:cs="David"/>
          <w:rtl/>
        </w:rPr>
        <w:t xml:space="preserve"> בכל מה שנוגע למינוי המומחים המייעצים לו בהחלטת</w:t>
      </w:r>
      <w:r w:rsidR="00A45EF0" w:rsidRPr="00392A37">
        <w:rPr>
          <w:rFonts w:ascii="David" w:hAnsi="David" w:cs="David"/>
          <w:rtl/>
        </w:rPr>
        <w:t>ו</w:t>
      </w:r>
      <w:r w:rsidR="00635F5B" w:rsidRPr="00392A37">
        <w:rPr>
          <w:rFonts w:ascii="David" w:hAnsi="David" w:cs="David"/>
          <w:rtl/>
        </w:rPr>
        <w:t xml:space="preserve">, </w:t>
      </w:r>
      <w:r w:rsidR="00102C77" w:rsidRPr="00392A37">
        <w:rPr>
          <w:rFonts w:ascii="David" w:hAnsi="David" w:cs="David"/>
          <w:rtl/>
        </w:rPr>
        <w:t>ודרכי עבודתם, אינם</w:t>
      </w:r>
      <w:r w:rsidR="00B84B48">
        <w:rPr>
          <w:rFonts w:ascii="David" w:hAnsi="David" w:cs="David" w:hint="cs"/>
          <w:rtl/>
        </w:rPr>
        <w:t xml:space="preserve"> מניחים את הדעת. </w:t>
      </w:r>
      <w:r w:rsidR="004D03DC">
        <w:rPr>
          <w:rFonts w:ascii="David" w:hAnsi="David" w:cs="David" w:hint="cs"/>
          <w:rtl/>
        </w:rPr>
        <w:t xml:space="preserve">עוד ציינו חברי הועדה, כי </w:t>
      </w:r>
      <w:r w:rsidR="00B84B48">
        <w:rPr>
          <w:rFonts w:ascii="David" w:hAnsi="David" w:cs="David" w:hint="cs"/>
          <w:rtl/>
        </w:rPr>
        <w:t xml:space="preserve">לא פעם </w:t>
      </w:r>
      <w:r w:rsidR="004D03DC">
        <w:rPr>
          <w:rFonts w:ascii="David" w:hAnsi="David" w:cs="David" w:hint="cs"/>
          <w:rtl/>
        </w:rPr>
        <w:t>נמצא ש</w:t>
      </w:r>
      <w:r w:rsidR="00B84B48">
        <w:rPr>
          <w:rFonts w:ascii="David" w:hAnsi="David" w:cs="David" w:hint="cs"/>
          <w:rtl/>
        </w:rPr>
        <w:t>חוות הדעת</w:t>
      </w:r>
      <w:r w:rsidR="004D03DC">
        <w:rPr>
          <w:rFonts w:ascii="David" w:hAnsi="David" w:cs="David" w:hint="cs"/>
          <w:rtl/>
        </w:rPr>
        <w:t xml:space="preserve"> המייעצות,</w:t>
      </w:r>
      <w:r w:rsidR="00B84B48">
        <w:rPr>
          <w:rFonts w:ascii="David" w:hAnsi="David" w:cs="David" w:hint="cs"/>
          <w:rtl/>
        </w:rPr>
        <w:t xml:space="preserve"> שעליהן סומך קצין התגמולים</w:t>
      </w:r>
      <w:r w:rsidR="004D03DC">
        <w:rPr>
          <w:rFonts w:ascii="David" w:hAnsi="David" w:cs="David" w:hint="cs"/>
          <w:rtl/>
        </w:rPr>
        <w:t xml:space="preserve"> בהחלטותיו</w:t>
      </w:r>
      <w:r w:rsidR="00B84B48">
        <w:rPr>
          <w:rFonts w:ascii="David" w:hAnsi="David" w:cs="David" w:hint="cs"/>
          <w:rtl/>
        </w:rPr>
        <w:t xml:space="preserve">, אינן עומדות </w:t>
      </w:r>
      <w:r w:rsidR="00102C77" w:rsidRPr="00392A37">
        <w:rPr>
          <w:rFonts w:ascii="David" w:hAnsi="David" w:cs="David"/>
          <w:rtl/>
        </w:rPr>
        <w:t>ברף הנדרש מבחינת כלי העזר והמדדים האובייקטיביים והמדעיים, העומדים לרשותם. עוד התריעו חברי הועדה, כנגד המצב הקיים שבו מומחים</w:t>
      </w:r>
      <w:r w:rsidR="00FD4FCF" w:rsidRPr="00392A37">
        <w:rPr>
          <w:rFonts w:ascii="David" w:hAnsi="David" w:cs="David"/>
          <w:rtl/>
        </w:rPr>
        <w:t>, הממונים על ידי קצין התגמולים, מתקשים להתמודד עם ההטיה המובנית לתוך שיטת מינויים וכך הם אומרים</w:t>
      </w:r>
      <w:r w:rsidR="00102C77" w:rsidRPr="00392A37">
        <w:rPr>
          <w:rFonts w:ascii="David" w:hAnsi="David" w:cs="David"/>
          <w:rtl/>
        </w:rPr>
        <w:t>:</w:t>
      </w:r>
    </w:p>
    <w:p w14:paraId="07ADB66A" w14:textId="333D41DB" w:rsidR="00392A37" w:rsidRDefault="009E7F56" w:rsidP="00392A37">
      <w:pPr>
        <w:bidi/>
        <w:spacing w:line="360" w:lineRule="auto"/>
        <w:rPr>
          <w:rFonts w:ascii="David" w:hAnsi="David" w:cs="David"/>
          <w:b/>
          <w:bCs/>
          <w:rtl/>
        </w:rPr>
      </w:pPr>
      <w:r w:rsidRPr="00392A37">
        <w:rPr>
          <w:rFonts w:ascii="David" w:hAnsi="David" w:cs="David"/>
          <w:b/>
          <w:bCs/>
          <w:rtl/>
        </w:rPr>
        <w:t xml:space="preserve"> </w:t>
      </w:r>
      <w:r w:rsidR="00635F5B" w:rsidRPr="00392A37">
        <w:rPr>
          <w:rFonts w:ascii="David" w:hAnsi="David" w:cs="David"/>
          <w:b/>
          <w:bCs/>
          <w:rtl/>
        </w:rPr>
        <w:t xml:space="preserve"> </w:t>
      </w:r>
      <w:r w:rsidRPr="00392A37">
        <w:rPr>
          <w:rFonts w:ascii="David" w:hAnsi="David" w:cs="David"/>
          <w:b/>
          <w:bCs/>
          <w:rtl/>
        </w:rPr>
        <w:t>"</w:t>
      </w:r>
      <w:r w:rsidR="00696026" w:rsidRPr="00392A37">
        <w:rPr>
          <w:rFonts w:ascii="David" w:hAnsi="David" w:cs="David"/>
          <w:b/>
          <w:bCs/>
          <w:rtl/>
        </w:rPr>
        <w:t xml:space="preserve"> </w:t>
      </w:r>
      <w:r w:rsidRPr="00392A37">
        <w:rPr>
          <w:rFonts w:ascii="David" w:hAnsi="David" w:cs="David"/>
          <w:b/>
          <w:bCs/>
          <w:rtl/>
        </w:rPr>
        <w:t>אנו חוששים, כי המומחית מטעם המשיב, הנותנת חוות דעת באופן קבוע למשיב (ברציפות מאז 2016, לפי עדותה עמ' 83 לפרוטוקול יום 9.5.24 שורות  4-5), מצויה מלכתחילה בפוזיציה, הפוגעת ביכולתה ליתן חוות דעת מקצועית, ללא הטיה. פעם אחר פעם אנו נתקלים, כבית דין מנהלי, בתופע</w:t>
      </w:r>
      <w:r w:rsidRPr="00392A37">
        <w:rPr>
          <w:rFonts w:ascii="David" w:hAnsi="David" w:cs="David"/>
          <w:b/>
          <w:bCs/>
          <w:rtl/>
        </w:rPr>
        <w:t xml:space="preserve">ה של בדיקה וחוות דעת </w:t>
      </w:r>
      <w:r w:rsidRPr="00392A37">
        <w:rPr>
          <w:rFonts w:ascii="David" w:hAnsi="David" w:cs="David"/>
          <w:b/>
          <w:bCs/>
          <w:rtl/>
        </w:rPr>
        <w:lastRenderedPageBreak/>
        <w:t>שטחיות, שאינן נשענות על בדיקות עזר ומדדים אובייקטיביים, והן אלה המשמשות את  קצין התגמולים בהחלטותיו. עובדה מצערת, שעליה עמדנו בפסק הדין ומעידה על הטייתה, נוגעת לכך שהמומחית מיהרה לחתום את חוות דעתה, יום לאחר בדיקתה את המערערת. היא עשתה</w:t>
      </w:r>
      <w:r w:rsidRPr="00392A37">
        <w:rPr>
          <w:rFonts w:ascii="David" w:hAnsi="David" w:cs="David"/>
          <w:b/>
          <w:bCs/>
          <w:rtl/>
        </w:rPr>
        <w:t xml:space="preserve"> זאת, על פי הודאתה המפורשת לפרוטוקול,  לפני שהובאו בפניה  כל המסמכים שהיא עצמה ראתה אותם כרלוונטיים, ואף ודרשה את הבאתם. מדוע נהגה כך? זאת לא נדע. אבל ידענו גם ידענו את סיבלה של המערערת ואת סבל משפחתה שאותו גוללו בצניעות ובאצילות באולם הדיונים". </w:t>
      </w:r>
    </w:p>
    <w:p w14:paraId="122E07C1" w14:textId="77777777" w:rsidR="00392A37" w:rsidRDefault="00392A37" w:rsidP="00392A37">
      <w:pPr>
        <w:bidi/>
        <w:spacing w:line="360" w:lineRule="auto"/>
        <w:rPr>
          <w:rFonts w:ascii="David" w:hAnsi="David" w:cs="David"/>
          <w:b/>
          <w:bCs/>
          <w:rtl/>
        </w:rPr>
      </w:pPr>
    </w:p>
    <w:p w14:paraId="247D8E40" w14:textId="23F0A4E4" w:rsidR="00392A37" w:rsidRPr="00262A0A" w:rsidRDefault="009E7F56" w:rsidP="00392A37">
      <w:pPr>
        <w:bidi/>
        <w:spacing w:line="360" w:lineRule="auto"/>
        <w:rPr>
          <w:rFonts w:ascii="David" w:hAnsi="David" w:cs="David"/>
          <w:rtl/>
        </w:rPr>
      </w:pPr>
      <w:r w:rsidRPr="00262A0A">
        <w:rPr>
          <w:rFonts w:ascii="David" w:hAnsi="David" w:cs="David" w:hint="cs"/>
          <w:rtl/>
        </w:rPr>
        <w:t>לאור השי</w:t>
      </w:r>
      <w:r w:rsidRPr="00262A0A">
        <w:rPr>
          <w:rFonts w:ascii="David" w:hAnsi="David" w:cs="David" w:hint="cs"/>
          <w:rtl/>
        </w:rPr>
        <w:t>קולים שפורטו בהרחבה בפסק הדין שניתן בערר</w:t>
      </w:r>
      <w:r w:rsidR="004D03DC">
        <w:rPr>
          <w:rFonts w:ascii="David" w:hAnsi="David" w:cs="David" w:hint="cs"/>
          <w:rtl/>
        </w:rPr>
        <w:t>,</w:t>
      </w:r>
      <w:r w:rsidRPr="00262A0A">
        <w:rPr>
          <w:rFonts w:ascii="David" w:hAnsi="David" w:cs="David" w:hint="cs"/>
          <w:rtl/>
        </w:rPr>
        <w:t xml:space="preserve"> נקבע כי החלטתו של קצין התגמולים בטלה וכי המערערת תוכר כמי שנפגעה עקב שירותה הצבאי ותזכה בכל ההטבות המוקנות לנפגעים על פי חוק. </w:t>
      </w:r>
    </w:p>
    <w:p w14:paraId="272E9A51" w14:textId="1D1DE8C0" w:rsidR="0069362E" w:rsidRDefault="009E7F56" w:rsidP="00392A37">
      <w:pPr>
        <w:bidi/>
        <w:spacing w:line="360" w:lineRule="auto"/>
        <w:rPr>
          <w:rFonts w:ascii="David" w:hAnsi="David" w:cs="David"/>
          <w:rtl/>
        </w:rPr>
      </w:pPr>
      <w:r>
        <w:rPr>
          <w:rFonts w:ascii="David" w:hAnsi="David" w:cs="David" w:hint="cs"/>
          <w:rtl/>
        </w:rPr>
        <w:t xml:space="preserve">חשיבותו של פסק הדין, המצביע על כשלים מבניים שדבקו בעבודת קצין התגמולים, המכריע  בגורלם </w:t>
      </w:r>
      <w:r>
        <w:rPr>
          <w:rFonts w:ascii="David" w:hAnsi="David" w:cs="David" w:hint="cs"/>
          <w:rtl/>
        </w:rPr>
        <w:t xml:space="preserve">של אנשי כוחות הביטחון, אינה מוטלת בספק וראוי להשמיע ולהדהד את השלכותיהם של כשלים כאלה על אלה שנפגעו במהלך שירותם הבטחוני וכך  כותבים חברי הועדה בהקשר זה: </w:t>
      </w:r>
    </w:p>
    <w:p w14:paraId="293047A2" w14:textId="77777777" w:rsidR="0069362E" w:rsidRDefault="0069362E" w:rsidP="0069362E">
      <w:pPr>
        <w:bidi/>
        <w:spacing w:line="360" w:lineRule="auto"/>
        <w:rPr>
          <w:rFonts w:ascii="David" w:hAnsi="David" w:cs="David"/>
          <w:rtl/>
        </w:rPr>
      </w:pPr>
    </w:p>
    <w:p w14:paraId="3000AB23" w14:textId="79B0E8F0" w:rsidR="0069362E" w:rsidRPr="0069362E" w:rsidRDefault="009E7F56" w:rsidP="0069362E">
      <w:pPr>
        <w:bidi/>
        <w:spacing w:line="360" w:lineRule="auto"/>
        <w:rPr>
          <w:rFonts w:ascii="David" w:hAnsi="David" w:cs="David"/>
          <w:b/>
          <w:bCs/>
        </w:rPr>
      </w:pPr>
      <w:r w:rsidRPr="0069362E">
        <w:rPr>
          <w:rFonts w:ascii="David" w:hAnsi="David" w:cs="David" w:hint="cs"/>
          <w:b/>
          <w:bCs/>
          <w:rtl/>
        </w:rPr>
        <w:t>"</w:t>
      </w:r>
      <w:r w:rsidRPr="0069362E">
        <w:rPr>
          <w:rFonts w:ascii="David" w:hAnsi="David" w:cs="David"/>
          <w:b/>
          <w:bCs/>
          <w:rtl/>
        </w:rPr>
        <w:t>איננו יכולים לעשות עבודתנו נאמנה אם לא נוסיף ונאמר, כי לדעתנו התנהלותו של המשיב בעניין זה כמכלול הי</w:t>
      </w:r>
      <w:r w:rsidRPr="0069362E">
        <w:rPr>
          <w:rFonts w:ascii="David" w:hAnsi="David" w:cs="David"/>
          <w:b/>
          <w:bCs/>
          <w:rtl/>
        </w:rPr>
        <w:t>נה מדאיגה, אם לנקוט לשון המעטה. לא היה לדעתנו מקום להעביר את המערערת ומשפחתה, את סאגת הייסורים של דיונים וחקירות ממושכים. התמודדותה הכנה, עם מופעי וחיבוטי הנפש של גיל ההתבגרות, נצבעו על ידי קצין התגמולים והמומחית מטעמו– באופן לא הוגן ומוטה. כל זאת, כאשר לא</w:t>
      </w:r>
      <w:r w:rsidRPr="0069362E">
        <w:rPr>
          <w:rFonts w:ascii="David" w:hAnsi="David" w:cs="David"/>
          <w:b/>
          <w:bCs/>
          <w:rtl/>
        </w:rPr>
        <w:t>חר מכן, היה עליה להתמודד בנוסף,  עם מוראותיה והשלכותיה של המלחמה הנוראית הזאת, על משפחתה</w:t>
      </w:r>
      <w:r w:rsidRPr="0069362E">
        <w:rPr>
          <w:rFonts w:ascii="David" w:hAnsi="David" w:cs="David" w:hint="cs"/>
          <w:b/>
          <w:bCs/>
          <w:rtl/>
        </w:rPr>
        <w:t>"</w:t>
      </w:r>
      <w:r w:rsidRPr="0069362E">
        <w:rPr>
          <w:rFonts w:ascii="David" w:hAnsi="David" w:cs="David"/>
          <w:b/>
          <w:bCs/>
          <w:rtl/>
        </w:rPr>
        <w:t xml:space="preserve">.  </w:t>
      </w:r>
    </w:p>
    <w:p w14:paraId="6C13355D" w14:textId="77777777" w:rsidR="0069362E" w:rsidRPr="0069362E" w:rsidRDefault="0069362E" w:rsidP="0069362E">
      <w:pPr>
        <w:bidi/>
        <w:spacing w:line="360" w:lineRule="auto"/>
        <w:rPr>
          <w:rFonts w:ascii="David" w:hAnsi="David" w:cs="David"/>
          <w:rtl/>
        </w:rPr>
      </w:pPr>
    </w:p>
    <w:p w14:paraId="15B3CB2D" w14:textId="7504809A" w:rsidR="00392A37" w:rsidRDefault="009E7F56" w:rsidP="0069362E">
      <w:pPr>
        <w:bidi/>
        <w:spacing w:line="360" w:lineRule="auto"/>
        <w:rPr>
          <w:rFonts w:ascii="David" w:hAnsi="David" w:cs="David"/>
          <w:rtl/>
        </w:rPr>
      </w:pPr>
      <w:r>
        <w:rPr>
          <w:rFonts w:ascii="David" w:hAnsi="David" w:cs="David" w:hint="cs"/>
          <w:rtl/>
        </w:rPr>
        <w:t xml:space="preserve"> בימים אלה,</w:t>
      </w:r>
      <w:r w:rsidR="0069362E">
        <w:rPr>
          <w:rFonts w:ascii="David" w:hAnsi="David" w:cs="David" w:hint="cs"/>
          <w:rtl/>
        </w:rPr>
        <w:t xml:space="preserve"> שבהם אנו מצויים בעיצומה של הלחימה ובימים </w:t>
      </w:r>
      <w:r>
        <w:rPr>
          <w:rFonts w:ascii="David" w:hAnsi="David" w:cs="David" w:hint="cs"/>
          <w:rtl/>
        </w:rPr>
        <w:t xml:space="preserve">שיבואו אחרי המלחמה ובהם יידרש קצין התגמולים להיקף גדל והולך של תביעות מסוגים שונים על רקע מאפייניה הייחודיים </w:t>
      </w:r>
      <w:r>
        <w:rPr>
          <w:rFonts w:ascii="David" w:hAnsi="David" w:cs="David" w:hint="cs"/>
          <w:rtl/>
        </w:rPr>
        <w:t>של המלחמה הנוכחית</w:t>
      </w:r>
      <w:r w:rsidR="00736BC6">
        <w:rPr>
          <w:rFonts w:ascii="David" w:hAnsi="David" w:cs="David" w:hint="cs"/>
          <w:rtl/>
        </w:rPr>
        <w:t xml:space="preserve">, ראוי כי קונספציות קיימות בעניין </w:t>
      </w:r>
      <w:r>
        <w:rPr>
          <w:rFonts w:ascii="David" w:hAnsi="David" w:cs="David" w:hint="cs"/>
          <w:rtl/>
        </w:rPr>
        <w:t xml:space="preserve"> דרכי עבודתו </w:t>
      </w:r>
      <w:r w:rsidR="00736BC6">
        <w:rPr>
          <w:rFonts w:ascii="David" w:hAnsi="David" w:cs="David" w:hint="cs"/>
          <w:rtl/>
        </w:rPr>
        <w:t>של קצין התגמולים תיבחנה מחדש. כל זאת על מנת ל</w:t>
      </w:r>
      <w:r>
        <w:rPr>
          <w:rFonts w:ascii="David" w:hAnsi="David" w:cs="David" w:hint="cs"/>
          <w:rtl/>
        </w:rPr>
        <w:t xml:space="preserve">מנוע סבל מיותר מאלה ששירתו את המדינה אך איתרע מזלם </w:t>
      </w:r>
      <w:r w:rsidR="00E655D1">
        <w:rPr>
          <w:rFonts w:ascii="David" w:hAnsi="David" w:cs="David" w:hint="cs"/>
          <w:rtl/>
        </w:rPr>
        <w:t xml:space="preserve">והם נפגעו בשל כך. </w:t>
      </w:r>
      <w:r>
        <w:rPr>
          <w:rFonts w:ascii="David" w:hAnsi="David" w:cs="David" w:hint="cs"/>
          <w:rtl/>
        </w:rPr>
        <w:t xml:space="preserve"> </w:t>
      </w:r>
    </w:p>
    <w:p w14:paraId="4B45645F" w14:textId="0981BCD5" w:rsidR="005656AA" w:rsidRPr="004D03DC" w:rsidRDefault="009E7F56" w:rsidP="005656AA">
      <w:pPr>
        <w:bidi/>
        <w:spacing w:line="360" w:lineRule="auto"/>
        <w:rPr>
          <w:rFonts w:ascii="David" w:hAnsi="David" w:cs="David"/>
          <w:b/>
          <w:bCs/>
        </w:rPr>
      </w:pPr>
      <w:r w:rsidRPr="004D03DC">
        <w:rPr>
          <w:rFonts w:ascii="David" w:hAnsi="David" w:cs="David" w:hint="cs"/>
          <w:b/>
          <w:bCs/>
          <w:rtl/>
        </w:rPr>
        <w:t xml:space="preserve">עותק פסק הדין מצורף בזאת. </w:t>
      </w:r>
    </w:p>
    <w:p w14:paraId="5708B737" w14:textId="2E3BB69C" w:rsidR="00A13A25" w:rsidRPr="00392A37" w:rsidRDefault="00A13A25" w:rsidP="00392A37">
      <w:pPr>
        <w:bidi/>
        <w:spacing w:line="360" w:lineRule="auto"/>
        <w:rPr>
          <w:rFonts w:ascii="David" w:hAnsi="David" w:cs="David"/>
        </w:rPr>
      </w:pPr>
    </w:p>
    <w:sectPr w:rsidR="00A13A25" w:rsidRPr="00392A37">
      <w:headerReference w:type="default" r:id="rId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3969FC9" w14:textId="77777777" w:rsidR="009E7F56" w:rsidRDefault="009E7F56">
      <w:pPr>
        <w:spacing w:after="0" w:line="240" w:lineRule="auto"/>
      </w:pPr>
      <w:r>
        <w:separator/>
      </w:r>
    </w:p>
  </w:endnote>
  <w:endnote w:type="continuationSeparator" w:id="0">
    <w:p w14:paraId="50BB5308" w14:textId="77777777" w:rsidR="009E7F56" w:rsidRDefault="009E7F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ptos">
    <w:altName w:val="Arial"/>
    <w:charset w:val="00"/>
    <w:family w:val="swiss"/>
    <w:pitch w:val="variable"/>
    <w:sig w:usb0="00000001"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altName w:val="Arial"/>
    <w:charset w:val="00"/>
    <w:family w:val="swiss"/>
    <w:pitch w:val="variable"/>
    <w:sig w:usb0="00000001"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F3782E" w14:textId="77777777" w:rsidR="009E7F56" w:rsidRDefault="009E7F56">
      <w:pPr>
        <w:spacing w:after="0" w:line="240" w:lineRule="auto"/>
      </w:pPr>
      <w:r>
        <w:separator/>
      </w:r>
    </w:p>
  </w:footnote>
  <w:footnote w:type="continuationSeparator" w:id="0">
    <w:p w14:paraId="027080CA" w14:textId="77777777" w:rsidR="009E7F56" w:rsidRDefault="009E7F5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79057911"/>
      <w:docPartObj>
        <w:docPartGallery w:val="Page Numbers (Top of Page)"/>
        <w:docPartUnique/>
      </w:docPartObj>
    </w:sdtPr>
    <w:sdtEndPr>
      <w:rPr>
        <w:noProof/>
      </w:rPr>
    </w:sdtEndPr>
    <w:sdtContent>
      <w:p w14:paraId="58D9E433" w14:textId="25945C89" w:rsidR="006F1EDC" w:rsidRDefault="009E7F56">
        <w:pPr>
          <w:pStyle w:val="ae"/>
          <w:jc w:val="center"/>
        </w:pPr>
        <w:r>
          <w:fldChar w:fldCharType="begin"/>
        </w:r>
        <w:r>
          <w:instrText xml:space="preserve"> PAGE   \* MERGEFORMAT </w:instrText>
        </w:r>
        <w:r>
          <w:fldChar w:fldCharType="separate"/>
        </w:r>
        <w:r w:rsidR="000B027E">
          <w:rPr>
            <w:noProof/>
          </w:rPr>
          <w:t>1</w:t>
        </w:r>
        <w:r>
          <w:rPr>
            <w:noProof/>
          </w:rPr>
          <w:fldChar w:fldCharType="end"/>
        </w:r>
      </w:p>
    </w:sdtContent>
  </w:sdt>
  <w:p w14:paraId="347767C4" w14:textId="77777777" w:rsidR="006F1EDC" w:rsidRDefault="006F1EDC">
    <w:pPr>
      <w:pStyle w:val="a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13A25"/>
    <w:rsid w:val="000B027E"/>
    <w:rsid w:val="00102C77"/>
    <w:rsid w:val="001445E4"/>
    <w:rsid w:val="0019186E"/>
    <w:rsid w:val="00262A0A"/>
    <w:rsid w:val="002E7AF8"/>
    <w:rsid w:val="002F50FD"/>
    <w:rsid w:val="0037170F"/>
    <w:rsid w:val="00392A37"/>
    <w:rsid w:val="003C23B6"/>
    <w:rsid w:val="004D03DC"/>
    <w:rsid w:val="005656AA"/>
    <w:rsid w:val="00635F5B"/>
    <w:rsid w:val="0069362E"/>
    <w:rsid w:val="00696026"/>
    <w:rsid w:val="006F1EDC"/>
    <w:rsid w:val="00726CD2"/>
    <w:rsid w:val="00736BC6"/>
    <w:rsid w:val="008B1688"/>
    <w:rsid w:val="009A342E"/>
    <w:rsid w:val="009C2E9B"/>
    <w:rsid w:val="009E7F56"/>
    <w:rsid w:val="00A13A25"/>
    <w:rsid w:val="00A45EF0"/>
    <w:rsid w:val="00AA3D53"/>
    <w:rsid w:val="00B84B48"/>
    <w:rsid w:val="00D06294"/>
    <w:rsid w:val="00E655D1"/>
    <w:rsid w:val="00F52491"/>
    <w:rsid w:val="00FD4FCF"/>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54871D"/>
  <w15:chartTrackingRefBased/>
  <w15:docId w15:val="{E36BBDEF-A9C2-41D9-9689-5A04D715A4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4"/>
        <w:szCs w:val="24"/>
        <w:lang w:val="en-US" w:eastAsia="en-US" w:bidi="he-IL"/>
        <w14:ligatures w14:val="standardContextual"/>
      </w:rPr>
    </w:rPrDefault>
    <w:pPrDefault>
      <w:pPr>
        <w:spacing w:after="160" w:line="278"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
    <w:qFormat/>
    <w:rsid w:val="00A13A2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2">
    <w:name w:val="heading 2"/>
    <w:basedOn w:val="a"/>
    <w:next w:val="a"/>
    <w:link w:val="20"/>
    <w:uiPriority w:val="9"/>
    <w:semiHidden/>
    <w:unhideWhenUsed/>
    <w:qFormat/>
    <w:rsid w:val="00A13A2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3">
    <w:name w:val="heading 3"/>
    <w:basedOn w:val="a"/>
    <w:next w:val="a"/>
    <w:link w:val="30"/>
    <w:uiPriority w:val="9"/>
    <w:semiHidden/>
    <w:unhideWhenUsed/>
    <w:qFormat/>
    <w:rsid w:val="00A13A25"/>
    <w:pPr>
      <w:keepNext/>
      <w:keepLines/>
      <w:spacing w:before="160" w:after="80"/>
      <w:outlineLvl w:val="2"/>
    </w:pPr>
    <w:rPr>
      <w:rFonts w:eastAsiaTheme="majorEastAsia" w:cstheme="majorBidi"/>
      <w:color w:val="0F4761" w:themeColor="accent1" w:themeShade="BF"/>
      <w:sz w:val="28"/>
      <w:szCs w:val="28"/>
    </w:rPr>
  </w:style>
  <w:style w:type="paragraph" w:styleId="4">
    <w:name w:val="heading 4"/>
    <w:basedOn w:val="a"/>
    <w:next w:val="a"/>
    <w:link w:val="40"/>
    <w:uiPriority w:val="9"/>
    <w:semiHidden/>
    <w:unhideWhenUsed/>
    <w:qFormat/>
    <w:rsid w:val="00A13A25"/>
    <w:pPr>
      <w:keepNext/>
      <w:keepLines/>
      <w:spacing w:before="80" w:after="40"/>
      <w:outlineLvl w:val="3"/>
    </w:pPr>
    <w:rPr>
      <w:rFonts w:eastAsiaTheme="majorEastAsia" w:cstheme="majorBidi"/>
      <w:i/>
      <w:iCs/>
      <w:color w:val="0F4761" w:themeColor="accent1" w:themeShade="BF"/>
    </w:rPr>
  </w:style>
  <w:style w:type="paragraph" w:styleId="5">
    <w:name w:val="heading 5"/>
    <w:basedOn w:val="a"/>
    <w:next w:val="a"/>
    <w:link w:val="50"/>
    <w:uiPriority w:val="9"/>
    <w:semiHidden/>
    <w:unhideWhenUsed/>
    <w:qFormat/>
    <w:rsid w:val="00A13A25"/>
    <w:pPr>
      <w:keepNext/>
      <w:keepLines/>
      <w:spacing w:before="80" w:after="40"/>
      <w:outlineLvl w:val="4"/>
    </w:pPr>
    <w:rPr>
      <w:rFonts w:eastAsiaTheme="majorEastAsia" w:cstheme="majorBidi"/>
      <w:color w:val="0F4761" w:themeColor="accent1" w:themeShade="BF"/>
    </w:rPr>
  </w:style>
  <w:style w:type="paragraph" w:styleId="6">
    <w:name w:val="heading 6"/>
    <w:basedOn w:val="a"/>
    <w:next w:val="a"/>
    <w:link w:val="60"/>
    <w:uiPriority w:val="9"/>
    <w:semiHidden/>
    <w:unhideWhenUsed/>
    <w:qFormat/>
    <w:rsid w:val="00A13A25"/>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A13A25"/>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A13A25"/>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A13A25"/>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כותרת 1 תו"/>
    <w:basedOn w:val="a0"/>
    <w:link w:val="1"/>
    <w:uiPriority w:val="9"/>
    <w:rsid w:val="00A13A25"/>
    <w:rPr>
      <w:rFonts w:asciiTheme="majorHAnsi" w:eastAsiaTheme="majorEastAsia" w:hAnsiTheme="majorHAnsi" w:cstheme="majorBidi"/>
      <w:color w:val="0F4761" w:themeColor="accent1" w:themeShade="BF"/>
      <w:sz w:val="40"/>
      <w:szCs w:val="40"/>
    </w:rPr>
  </w:style>
  <w:style w:type="character" w:customStyle="1" w:styleId="20">
    <w:name w:val="כותרת 2 תו"/>
    <w:basedOn w:val="a0"/>
    <w:link w:val="2"/>
    <w:uiPriority w:val="9"/>
    <w:semiHidden/>
    <w:rsid w:val="00A13A25"/>
    <w:rPr>
      <w:rFonts w:asciiTheme="majorHAnsi" w:eastAsiaTheme="majorEastAsia" w:hAnsiTheme="majorHAnsi" w:cstheme="majorBidi"/>
      <w:color w:val="0F4761" w:themeColor="accent1" w:themeShade="BF"/>
      <w:sz w:val="32"/>
      <w:szCs w:val="32"/>
    </w:rPr>
  </w:style>
  <w:style w:type="character" w:customStyle="1" w:styleId="30">
    <w:name w:val="כותרת 3 תו"/>
    <w:basedOn w:val="a0"/>
    <w:link w:val="3"/>
    <w:uiPriority w:val="9"/>
    <w:semiHidden/>
    <w:rsid w:val="00A13A25"/>
    <w:rPr>
      <w:rFonts w:eastAsiaTheme="majorEastAsia" w:cstheme="majorBidi"/>
      <w:color w:val="0F4761" w:themeColor="accent1" w:themeShade="BF"/>
      <w:sz w:val="28"/>
      <w:szCs w:val="28"/>
    </w:rPr>
  </w:style>
  <w:style w:type="character" w:customStyle="1" w:styleId="40">
    <w:name w:val="כותרת 4 תו"/>
    <w:basedOn w:val="a0"/>
    <w:link w:val="4"/>
    <w:uiPriority w:val="9"/>
    <w:semiHidden/>
    <w:rsid w:val="00A13A25"/>
    <w:rPr>
      <w:rFonts w:eastAsiaTheme="majorEastAsia" w:cstheme="majorBidi"/>
      <w:i/>
      <w:iCs/>
      <w:color w:val="0F4761" w:themeColor="accent1" w:themeShade="BF"/>
    </w:rPr>
  </w:style>
  <w:style w:type="character" w:customStyle="1" w:styleId="50">
    <w:name w:val="כותרת 5 תו"/>
    <w:basedOn w:val="a0"/>
    <w:link w:val="5"/>
    <w:uiPriority w:val="9"/>
    <w:semiHidden/>
    <w:rsid w:val="00A13A25"/>
    <w:rPr>
      <w:rFonts w:eastAsiaTheme="majorEastAsia" w:cstheme="majorBidi"/>
      <w:color w:val="0F4761" w:themeColor="accent1" w:themeShade="BF"/>
    </w:rPr>
  </w:style>
  <w:style w:type="character" w:customStyle="1" w:styleId="60">
    <w:name w:val="כותרת 6 תו"/>
    <w:basedOn w:val="a0"/>
    <w:link w:val="6"/>
    <w:uiPriority w:val="9"/>
    <w:semiHidden/>
    <w:rsid w:val="00A13A25"/>
    <w:rPr>
      <w:rFonts w:eastAsiaTheme="majorEastAsia" w:cstheme="majorBidi"/>
      <w:i/>
      <w:iCs/>
      <w:color w:val="595959" w:themeColor="text1" w:themeTint="A6"/>
    </w:rPr>
  </w:style>
  <w:style w:type="character" w:customStyle="1" w:styleId="70">
    <w:name w:val="כותרת 7 תו"/>
    <w:basedOn w:val="a0"/>
    <w:link w:val="7"/>
    <w:uiPriority w:val="9"/>
    <w:semiHidden/>
    <w:rsid w:val="00A13A25"/>
    <w:rPr>
      <w:rFonts w:eastAsiaTheme="majorEastAsia" w:cstheme="majorBidi"/>
      <w:color w:val="595959" w:themeColor="text1" w:themeTint="A6"/>
    </w:rPr>
  </w:style>
  <w:style w:type="character" w:customStyle="1" w:styleId="80">
    <w:name w:val="כותרת 8 תו"/>
    <w:basedOn w:val="a0"/>
    <w:link w:val="8"/>
    <w:uiPriority w:val="9"/>
    <w:semiHidden/>
    <w:rsid w:val="00A13A25"/>
    <w:rPr>
      <w:rFonts w:eastAsiaTheme="majorEastAsia" w:cstheme="majorBidi"/>
      <w:i/>
      <w:iCs/>
      <w:color w:val="272727" w:themeColor="text1" w:themeTint="D8"/>
    </w:rPr>
  </w:style>
  <w:style w:type="character" w:customStyle="1" w:styleId="90">
    <w:name w:val="כותרת 9 תו"/>
    <w:basedOn w:val="a0"/>
    <w:link w:val="9"/>
    <w:uiPriority w:val="9"/>
    <w:semiHidden/>
    <w:rsid w:val="00A13A25"/>
    <w:rPr>
      <w:rFonts w:eastAsiaTheme="majorEastAsia" w:cstheme="majorBidi"/>
      <w:color w:val="272727" w:themeColor="text1" w:themeTint="D8"/>
    </w:rPr>
  </w:style>
  <w:style w:type="paragraph" w:styleId="a3">
    <w:name w:val="Title"/>
    <w:basedOn w:val="a"/>
    <w:next w:val="a"/>
    <w:link w:val="a4"/>
    <w:uiPriority w:val="10"/>
    <w:qFormat/>
    <w:rsid w:val="00A13A2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כותרת טקסט תו"/>
    <w:basedOn w:val="a0"/>
    <w:link w:val="a3"/>
    <w:uiPriority w:val="10"/>
    <w:rsid w:val="00A13A25"/>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A13A25"/>
    <w:pPr>
      <w:numPr>
        <w:ilvl w:val="1"/>
      </w:numPr>
    </w:pPr>
    <w:rPr>
      <w:rFonts w:eastAsiaTheme="majorEastAsia" w:cstheme="majorBidi"/>
      <w:color w:val="595959" w:themeColor="text1" w:themeTint="A6"/>
      <w:spacing w:val="15"/>
      <w:sz w:val="28"/>
      <w:szCs w:val="28"/>
    </w:rPr>
  </w:style>
  <w:style w:type="character" w:customStyle="1" w:styleId="a6">
    <w:name w:val="כותרת משנה תו"/>
    <w:basedOn w:val="a0"/>
    <w:link w:val="a5"/>
    <w:uiPriority w:val="11"/>
    <w:rsid w:val="00A13A25"/>
    <w:rPr>
      <w:rFonts w:eastAsiaTheme="majorEastAsia" w:cstheme="majorBidi"/>
      <w:color w:val="595959" w:themeColor="text1" w:themeTint="A6"/>
      <w:spacing w:val="15"/>
      <w:sz w:val="28"/>
      <w:szCs w:val="28"/>
    </w:rPr>
  </w:style>
  <w:style w:type="paragraph" w:styleId="a7">
    <w:name w:val="Quote"/>
    <w:basedOn w:val="a"/>
    <w:next w:val="a"/>
    <w:link w:val="a8"/>
    <w:uiPriority w:val="29"/>
    <w:qFormat/>
    <w:rsid w:val="00A13A25"/>
    <w:pPr>
      <w:spacing w:before="160"/>
      <w:jc w:val="center"/>
    </w:pPr>
    <w:rPr>
      <w:i/>
      <w:iCs/>
      <w:color w:val="404040" w:themeColor="text1" w:themeTint="BF"/>
    </w:rPr>
  </w:style>
  <w:style w:type="character" w:customStyle="1" w:styleId="a8">
    <w:name w:val="ציטוט תו"/>
    <w:basedOn w:val="a0"/>
    <w:link w:val="a7"/>
    <w:uiPriority w:val="29"/>
    <w:rsid w:val="00A13A25"/>
    <w:rPr>
      <w:i/>
      <w:iCs/>
      <w:color w:val="404040" w:themeColor="text1" w:themeTint="BF"/>
    </w:rPr>
  </w:style>
  <w:style w:type="paragraph" w:styleId="a9">
    <w:name w:val="List Paragraph"/>
    <w:basedOn w:val="a"/>
    <w:uiPriority w:val="34"/>
    <w:qFormat/>
    <w:rsid w:val="00A13A25"/>
    <w:pPr>
      <w:ind w:left="720"/>
      <w:contextualSpacing/>
    </w:pPr>
  </w:style>
  <w:style w:type="character" w:styleId="aa">
    <w:name w:val="Intense Emphasis"/>
    <w:basedOn w:val="a0"/>
    <w:uiPriority w:val="21"/>
    <w:qFormat/>
    <w:rsid w:val="00A13A25"/>
    <w:rPr>
      <w:i/>
      <w:iCs/>
      <w:color w:val="0F4761" w:themeColor="accent1" w:themeShade="BF"/>
    </w:rPr>
  </w:style>
  <w:style w:type="paragraph" w:styleId="ab">
    <w:name w:val="Intense Quote"/>
    <w:basedOn w:val="a"/>
    <w:next w:val="a"/>
    <w:link w:val="ac"/>
    <w:uiPriority w:val="30"/>
    <w:qFormat/>
    <w:rsid w:val="00A13A2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c">
    <w:name w:val="ציטוט חזק תו"/>
    <w:basedOn w:val="a0"/>
    <w:link w:val="ab"/>
    <w:uiPriority w:val="30"/>
    <w:rsid w:val="00A13A25"/>
    <w:rPr>
      <w:i/>
      <w:iCs/>
      <w:color w:val="0F4761" w:themeColor="accent1" w:themeShade="BF"/>
    </w:rPr>
  </w:style>
  <w:style w:type="character" w:styleId="ad">
    <w:name w:val="Intense Reference"/>
    <w:basedOn w:val="a0"/>
    <w:uiPriority w:val="32"/>
    <w:qFormat/>
    <w:rsid w:val="00A13A25"/>
    <w:rPr>
      <w:b/>
      <w:bCs/>
      <w:smallCaps/>
      <w:color w:val="0F4761" w:themeColor="accent1" w:themeShade="BF"/>
      <w:spacing w:val="5"/>
    </w:rPr>
  </w:style>
  <w:style w:type="paragraph" w:styleId="ae">
    <w:name w:val="header"/>
    <w:basedOn w:val="a"/>
    <w:link w:val="af"/>
    <w:uiPriority w:val="99"/>
    <w:unhideWhenUsed/>
    <w:rsid w:val="006F1EDC"/>
    <w:pPr>
      <w:tabs>
        <w:tab w:val="center" w:pos="4680"/>
        <w:tab w:val="right" w:pos="9360"/>
      </w:tabs>
      <w:spacing w:after="0" w:line="240" w:lineRule="auto"/>
    </w:pPr>
  </w:style>
  <w:style w:type="character" w:customStyle="1" w:styleId="af">
    <w:name w:val="כותרת עליונה תו"/>
    <w:basedOn w:val="a0"/>
    <w:link w:val="ae"/>
    <w:uiPriority w:val="99"/>
    <w:rsid w:val="006F1EDC"/>
  </w:style>
  <w:style w:type="paragraph" w:styleId="af0">
    <w:name w:val="footer"/>
    <w:basedOn w:val="a"/>
    <w:link w:val="af1"/>
    <w:uiPriority w:val="99"/>
    <w:unhideWhenUsed/>
    <w:rsid w:val="006F1EDC"/>
    <w:pPr>
      <w:tabs>
        <w:tab w:val="center" w:pos="4680"/>
        <w:tab w:val="right" w:pos="9360"/>
      </w:tabs>
      <w:spacing w:after="0" w:line="240" w:lineRule="auto"/>
    </w:pPr>
  </w:style>
  <w:style w:type="character" w:customStyle="1" w:styleId="af1">
    <w:name w:val="כותרת תחתונה תו"/>
    <w:basedOn w:val="a0"/>
    <w:link w:val="af0"/>
    <w:uiPriority w:val="99"/>
    <w:rsid w:val="006F1ED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665</Words>
  <Characters>3326</Characters>
  <Application>Microsoft Office Word</Application>
  <DocSecurity>0</DocSecurity>
  <Lines>27</Lines>
  <Paragraphs>7</Paragraphs>
  <ScaleCrop>false</ScaleCrop>
  <HeadingPairs>
    <vt:vector size="2" baseType="variant">
      <vt:variant>
        <vt:lpstr>שם</vt:lpstr>
      </vt:variant>
      <vt:variant>
        <vt:i4>1</vt:i4>
      </vt:variant>
    </vt:vector>
  </HeadingPairs>
  <TitlesOfParts>
    <vt:vector size="1" baseType="lpstr">
      <vt:lpstr/>
    </vt:vector>
  </TitlesOfParts>
  <Company/>
  <LinksUpToDate>false</LinksUpToDate>
  <CharactersWithSpaces>3984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אסתי טטרו</dc:creator>
  <cp:lastModifiedBy>אסתר טטרואשילי</cp:lastModifiedBy>
  <cp:revision>2</cp:revision>
  <dcterms:created xsi:type="dcterms:W3CDTF">2024-08-15T07:07:00Z</dcterms:created>
  <dcterms:modified xsi:type="dcterms:W3CDTF">2024-08-15T07:07:00Z</dcterms:modified>
</cp:coreProperties>
</file>